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33"/>
        </w:numPr>
        <w:spacing w:before="240" w:after="0"/>
        <w:ind w:hanging="426" w:left="426"/>
        <w:jc w:val="both"/>
        <w:rPr>
          <w:rFonts w:ascii="Tahoma" w:hAnsi="Tahoma" w:cs="Tahoma"/>
          <w:b/>
          <w:sz w:val="22"/>
          <w:szCs w:val="22"/>
        </w:rPr>
      </w:pPr>
      <w:r>
        <w:rPr>
          <w:rFonts w:cs="Tahoma" w:ascii="Tahoma" w:hAnsi="Tahoma"/>
          <w:b/>
          <w:sz w:val="22"/>
          <w:szCs w:val="22"/>
        </w:rPr>
        <w:t>Domov Iris, příspěvková organizace</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t>Ostrava, Mariánské Hory a Hulváky, Rybářská 1223/13</w:t>
      </w:r>
    </w:p>
    <w:p>
      <w:pPr>
        <w:pStyle w:val="Normal"/>
        <w:numPr>
          <w:ilvl w:val="0"/>
          <w:numId w:val="0"/>
        </w:numPr>
        <w:tabs>
          <w:tab w:val="clear" w:pos="709"/>
          <w:tab w:val="left" w:pos="2835" w:leader="none"/>
        </w:tabs>
        <w:ind w:hanging="0" w:left="357"/>
        <w:jc w:val="both"/>
        <w:rPr>
          <w:rFonts w:ascii="Tahoma" w:hAnsi="Tahoma" w:cs="Tahoma"/>
          <w:iCs/>
          <w:sz w:val="22"/>
          <w:szCs w:val="22"/>
        </w:rPr>
      </w:pPr>
      <w:r>
        <w:rPr>
          <w:rFonts w:cs="Tahoma" w:ascii="Tahoma" w:hAnsi="Tahoma"/>
          <w:sz w:val="22"/>
          <w:szCs w:val="22"/>
        </w:rPr>
        <w:t>zastoupena:</w:t>
        <w:tab/>
        <w:t>Mgr. Michal Mariánek- ředitel organizace</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w:t>
        <w:tab/>
        <w:t>70631824</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t>CZ70631824</w:t>
      </w:r>
    </w:p>
    <w:p>
      <w:pPr>
        <w:pStyle w:val="dajeOSmluvnStran"/>
        <w:numPr>
          <w:ilvl w:val="0"/>
          <w:numId w:val="0"/>
        </w:numPr>
        <w:spacing w:before="60" w:after="0"/>
        <w:ind w:hanging="1060" w:left="1417"/>
        <w:jc w:val="both"/>
        <w:rPr>
          <w:rFonts w:ascii="Tahoma" w:hAnsi="Tahoma" w:cs="Tahoma"/>
          <w:i/>
          <w:i/>
          <w:iCs/>
          <w:color w:val="FF0000"/>
          <w:sz w:val="22"/>
          <w:szCs w:val="22"/>
        </w:rPr>
      </w:pPr>
      <w:r>
        <w:rPr>
          <w:rFonts w:cs="Tahoma" w:ascii="Tahoma" w:hAnsi="Tahoma"/>
          <w:i/>
          <w:iCs/>
          <w:color w:val="FF0000"/>
          <w:sz w:val="22"/>
          <w:szCs w:val="22"/>
        </w:rPr>
        <w:t>POZN.:</w:t>
        <w:tab/>
        <w:t>Osoba oprávněná jednat ve věcech realizace stavby bude doplněna objednatelem až před podpisem smlouvy.</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numPr>
          <w:ilvl w:val="0"/>
          <w:numId w:val="33"/>
        </w:numPr>
        <w:spacing w:before="240" w:after="0"/>
        <w:ind w:hanging="284" w:left="284"/>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zastoupena:</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IČO:</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bankovní spojení:</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 stavby:</w:t>
      </w:r>
    </w:p>
    <w:p>
      <w:pPr>
        <w:pStyle w:val="dajeOSmluvnStran"/>
        <w:numPr>
          <w:ilvl w:val="0"/>
          <w:numId w:val="0"/>
        </w:numPr>
        <w:spacing w:before="60" w:after="0"/>
        <w:ind w:hanging="0" w:left="357"/>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2"/>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pro objednatele na svůj náklad a nebezpečí stavbu „Opravy vnitřních prostor 1.NP a suterénu po povodních“ (dále jen „stavba“) v rozsahu dle:</w:t>
      </w:r>
    </w:p>
    <w:p>
      <w:pPr>
        <w:pStyle w:val="Normal"/>
        <w:numPr>
          <w:ilvl w:val="0"/>
          <w:numId w:val="23"/>
        </w:numPr>
        <w:tabs>
          <w:tab w:val="clear" w:pos="709"/>
        </w:tabs>
        <w:spacing w:before="60" w:after="0"/>
        <w:ind w:hanging="425" w:left="709"/>
        <w:jc w:val="both"/>
        <w:rPr>
          <w:rFonts w:ascii="Tahoma" w:hAnsi="Tahoma" w:cs="Tahoma"/>
          <w:sz w:val="22"/>
          <w:szCs w:val="22"/>
        </w:rPr>
      </w:pPr>
      <w:r>
        <w:rPr>
          <w:rFonts w:cs="Tahoma" w:ascii="Tahoma" w:hAnsi="Tahoma"/>
          <w:iCs/>
          <w:sz w:val="22"/>
          <w:szCs w:val="22"/>
        </w:rPr>
        <w:t>zadávací dokumentace veřejné zakázky malého rozsahu, která předcházela uzavření této smlouvy</w:t>
      </w:r>
      <w:r>
        <w:rPr>
          <w:rFonts w:cs="Tahoma" w:ascii="Tahoma" w:hAnsi="Tahoma"/>
          <w:i/>
          <w:iCs/>
          <w:sz w:val="22"/>
          <w:szCs w:val="22"/>
        </w:rPr>
        <w:t>,</w:t>
      </w:r>
    </w:p>
    <w:p>
      <w:pPr>
        <w:pStyle w:val="Normal"/>
        <w:numPr>
          <w:ilvl w:val="0"/>
          <w:numId w:val="23"/>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oceněného soupisu prací, dodávek a služeb, který je součástí nabídky zhotovitele podané v rámci veřejné zakázky na výběr zhotovitele díla dle této smlouvy (dále jen „soupis prací“),</w:t>
      </w:r>
    </w:p>
    <w:p>
      <w:pPr>
        <w:pStyle w:val="Normal"/>
        <w:numPr>
          <w:ilvl w:val="0"/>
          <w:numId w:val="23"/>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předpisů upravujících provádění stavebních děl a ustanovení této smlouvy</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skutečného provedení stavby ve třech vyhotoveních.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vytyčení obvodu staveniště,</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udržování stavbou dotčených zpevněných ploch, veřejných komunikací a výjezdů ze staveniště v čistotě a jejich uvedení do původního stavu,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úklidu vnějších a vnitřních ploch dotčených stavbou.</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povolení či jiných rozhodnutí nebo opatření stavebních úřadů a požadavky dotčených orgánů a organizací související s realizací stavby,</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 s realizací stavby.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7"/>
        </w:numPr>
        <w:tabs>
          <w:tab w:val="clear" w:pos="709"/>
        </w:tabs>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do </w:t>
      </w:r>
      <w:r>
        <w:rPr>
          <w:rFonts w:cs="Tahoma" w:ascii="Tahoma" w:hAnsi="Tahoma"/>
          <w:sz w:val="22"/>
          <w:szCs w:val="22"/>
        </w:rPr>
        <w:t>12</w:t>
      </w:r>
      <w:r>
        <w:rPr>
          <w:rFonts w:cs="Tahoma" w:ascii="Tahoma" w:hAnsi="Tahoma"/>
          <w:sz w:val="22"/>
          <w:szCs w:val="22"/>
        </w:rPr>
        <w:t>0 dnů od předání staveniště zhotoviteli a nejpozději poslední den doby plnění dokončené dílo předat objednateli. Dílo je provedeno, je</w:t>
        <w:noBreakHyphen/>
        <w:t>li dokončeno (tj. objednateli je předvedena způsobilost díla sloužit svému účelu) a předáno objednateli.</w:t>
      </w:r>
    </w:p>
    <w:p>
      <w:pPr>
        <w:pStyle w:val="Normal"/>
        <w:widowControl w:val="false"/>
        <w:numPr>
          <w:ilvl w:val="0"/>
          <w:numId w:val="17"/>
        </w:numPr>
        <w:tabs>
          <w:tab w:val="clear" w:pos="709"/>
        </w:tabs>
        <w:spacing w:before="120" w:after="0"/>
        <w:ind w:hanging="357" w:left="357"/>
        <w:jc w:val="both"/>
        <w:rPr>
          <w:rFonts w:ascii="Tahoma" w:hAnsi="Tahoma" w:cs="Tahoma"/>
          <w:bCs/>
          <w:sz w:val="22"/>
          <w:szCs w:val="22"/>
        </w:rPr>
      </w:pPr>
      <w:r>
        <w:rPr>
          <w:rFonts w:cs="Tahoma" w:ascii="Tahoma" w:hAnsi="Tahoma"/>
          <w:bCs/>
          <w:sz w:val="22"/>
          <w:szCs w:val="22"/>
        </w:rPr>
        <w:t>Místem plnění je budova zadavatele na adrese Rybářská 1223/13, Ostrava, k. ú. Mariánské Hory (713830).</w:t>
      </w:r>
    </w:p>
    <w:p>
      <w:pPr>
        <w:pStyle w:val="Smlouva-slo1"/>
        <w:widowControl/>
        <w:numPr>
          <w:ilvl w:val="0"/>
          <w:numId w:val="17"/>
        </w:numPr>
        <w:spacing w:lineRule="auto" w:line="240"/>
        <w:rPr>
          <w:rFonts w:ascii="Tahoma" w:hAnsi="Tahoma" w:cs="Tahoma"/>
          <w:sz w:val="22"/>
          <w:szCs w:val="22"/>
        </w:rPr>
      </w:pPr>
      <w:r>
        <w:rPr>
          <w:rFonts w:cs="Tahoma" w:ascii="Tahoma" w:hAnsi="Tahoma"/>
          <w:sz w:val="22"/>
          <w:szCs w:val="22"/>
        </w:rPr>
        <w:t>V </w:t>
      </w:r>
      <w:r>
        <w:rPr>
          <w:rFonts w:cs="Tahoma" w:ascii="Tahoma" w:hAnsi="Tahoma"/>
          <w:bCs/>
          <w:sz w:val="22"/>
          <w:szCs w:val="22"/>
        </w:rPr>
        <w:t>souladu</w:t>
      </w:r>
      <w:r>
        <w:rPr>
          <w:rFonts w:cs="Tahoma" w:ascii="Tahoma" w:hAnsi="Tahoma"/>
          <w:sz w:val="22"/>
          <w:szCs w:val="22"/>
        </w:rPr>
        <w:t xml:space="preserve"> s § 100 odst. 1 ZZVZ si objednatel vyhrazuje právo po dobu trvání překážky přerušit plnění předmětu této smlouvy a zastavit běh doby plnění dle odst. 1 tohoto článku smlouvy, a to v těchto případech:</w:t>
      </w:r>
    </w:p>
    <w:p>
      <w:pPr>
        <w:pStyle w:val="Smlouva-slo1"/>
        <w:widowControl/>
        <w:numPr>
          <w:ilvl w:val="0"/>
          <w:numId w:val="31"/>
        </w:numPr>
        <w:spacing w:lineRule="auto" w:line="240"/>
        <w:rPr>
          <w:rFonts w:ascii="Tahoma" w:hAnsi="Tahoma" w:cs="Tahoma"/>
          <w:sz w:val="22"/>
          <w:szCs w:val="22"/>
        </w:rPr>
      </w:pPr>
      <w:r>
        <w:rPr>
          <w:rFonts w:cs="Tahoma" w:ascii="Tahoma" w:hAnsi="Tahoma"/>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pPr>
        <w:pStyle w:val="Smlouva-slo1"/>
        <w:numPr>
          <w:ilvl w:val="0"/>
          <w:numId w:val="31"/>
        </w:numPr>
        <w:rPr>
          <w:rFonts w:ascii="Tahoma" w:hAnsi="Tahoma" w:cs="Tahoma"/>
          <w:sz w:val="22"/>
          <w:szCs w:val="22"/>
        </w:rPr>
      </w:pPr>
      <w:r>
        <w:rPr>
          <w:rFonts w:cs="Tahoma" w:ascii="Tahoma" w:hAnsi="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pPr>
        <w:pStyle w:val="Smlouva-slo1"/>
        <w:widowControl/>
        <w:spacing w:lineRule="auto" w:line="240"/>
        <w:ind w:left="340"/>
        <w:rPr>
          <w:rFonts w:ascii="Tahoma" w:hAnsi="Tahoma" w:cs="Tahoma"/>
          <w:sz w:val="22"/>
          <w:szCs w:val="22"/>
        </w:rPr>
      </w:pPr>
      <w:r>
        <w:rPr>
          <w:rFonts w:cs="Tahoma" w:ascii="Tahoma" w:hAnsi="Tahoma"/>
          <w:sz w:val="22"/>
          <w:szCs w:val="22"/>
        </w:rPr>
        <w:t xml:space="preserve">V  těchto případech bude se zhotovitelem jednáno o možnosti stavění běhu doby plnění dle odst. 1 tohoto článku smlouvy. </w:t>
      </w:r>
      <w:r>
        <w:rPr>
          <w:rStyle w:val="normaltextrun"/>
          <w:rFonts w:cs="Tahoma" w:ascii="Tahoma" w:hAnsi="Tahoma"/>
          <w:sz w:val="22"/>
          <w:szCs w:val="22"/>
        </w:rPr>
        <w:t xml:space="preserve">Omezení postupu prací dle tohoto odstavce bude posuzováno ve vztahu k možnosti provádění díla dle předepsaných technologických postupů. </w:t>
      </w:r>
      <w:r>
        <w:rPr>
          <w:rFonts w:cs="Tahoma" w:ascii="Tahoma" w:hAnsi="Tahoma"/>
          <w:sz w:val="22"/>
          <w:szCs w:val="22"/>
        </w:rPr>
        <w:t>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pPr>
        <w:pStyle w:val="Smlouva-slo1"/>
        <w:widowControl/>
        <w:numPr>
          <w:ilvl w:val="0"/>
          <w:numId w:val="17"/>
        </w:numPr>
        <w:spacing w:lineRule="auto" w:line="240"/>
        <w:rPr>
          <w:rFonts w:ascii="Tahoma" w:hAnsi="Tahoma" w:cs="Tahoma"/>
          <w:sz w:val="22"/>
          <w:szCs w:val="22"/>
        </w:rPr>
      </w:pPr>
      <w:r>
        <w:rPr>
          <w:rStyle w:val="normaltextrun"/>
          <w:rFonts w:cs="Tahoma" w:ascii="Tahoma" w:hAnsi="Tahoma"/>
          <w:color w:themeColor="text1" w:val="000000"/>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8"/>
        </w:numPr>
        <w:tabs>
          <w:tab w:val="clear" w:pos="709"/>
        </w:tabs>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Normal"/>
        <w:tabs>
          <w:tab w:val="clear" w:pos="709"/>
          <w:tab w:val="left" w:pos="3402" w:leader="none"/>
        </w:tabs>
        <w:spacing w:before="120" w:after="0"/>
        <w:ind w:left="357"/>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Normal"/>
        <w:tabs>
          <w:tab w:val="clear" w:pos="709"/>
          <w:tab w:val="left" w:pos="3402" w:leader="none"/>
        </w:tabs>
        <w:spacing w:before="120" w:after="0"/>
        <w:ind w:left="357"/>
        <w:jc w:val="both"/>
        <w:rPr>
          <w:rFonts w:ascii="Tahoma" w:hAnsi="Tahoma" w:cs="Tahoma"/>
          <w:b/>
          <w:sz w:val="22"/>
          <w:szCs w:val="22"/>
        </w:rPr>
      </w:pPr>
      <w:r>
        <w:rPr>
          <w:rFonts w:cs="Tahoma" w:ascii="Tahoma" w:hAnsi="Tahoma"/>
          <w:sz w:val="22"/>
          <w:szCs w:val="22"/>
        </w:rPr>
        <w:t>DPH</w:t>
        <w:tab/>
        <w:t>………………</w:t>
      </w:r>
      <w:r>
        <w:rPr>
          <w:rFonts w:cs="Tahoma" w:ascii="Tahoma" w:hAnsi="Tahoma"/>
          <w:b/>
          <w:sz w:val="22"/>
          <w:szCs w:val="22"/>
        </w:rPr>
        <w:t> Kč</w:t>
      </w:r>
    </w:p>
    <w:p>
      <w:pPr>
        <w:pStyle w:val="Normal"/>
        <w:spacing w:before="120" w:after="240"/>
        <w:ind w:left="357"/>
        <w:jc w:val="both"/>
        <w:rPr>
          <w:rFonts w:ascii="Tahoma" w:hAnsi="Tahoma" w:cs="Tahoma"/>
          <w:sz w:val="22"/>
          <w:szCs w:val="22"/>
        </w:rPr>
      </w:pPr>
      <w:r>
        <w:rPr>
          <w:rFonts w:cs="Tahoma" w:ascii="Tahoma" w:hAnsi="Tahoma"/>
          <w:sz w:val="22"/>
          <w:szCs w:val="22"/>
        </w:rPr>
        <w:t>Cena včetně DPH</w:t>
        <w:tab/>
        <w:tab/>
        <w:tab/>
      </w:r>
      <w:r>
        <w:rPr>
          <w:rFonts w:cs="Tahoma" w:ascii="Tahoma" w:hAnsi="Tahoma"/>
          <w:b/>
          <w:sz w:val="22"/>
          <w:szCs w:val="22"/>
        </w:rPr>
        <w:t xml:space="preserve">…………… Kč </w:t>
      </w:r>
      <w:r>
        <w:rPr>
          <w:rFonts w:cs="Tahoma" w:ascii="Tahoma" w:hAnsi="Tahoma"/>
          <w:i/>
          <w:iCs/>
          <w:color w:val="FF0000"/>
          <w:sz w:val="22"/>
          <w:szCs w:val="22"/>
        </w:rPr>
        <w:t>(doplní účastník/zhotovitel)</w:t>
      </w:r>
    </w:p>
    <w:p>
      <w:pPr>
        <w:pStyle w:val="Normal"/>
        <w:tabs>
          <w:tab w:val="clear" w:pos="709"/>
          <w:tab w:val="left" w:pos="426" w:leader="none"/>
        </w:tabs>
        <w:spacing w:before="120" w:after="0"/>
        <w:ind w:hanging="1770" w:left="2127"/>
        <w:jc w:val="both"/>
        <w:rPr>
          <w:rFonts w:ascii="Tahoma" w:hAnsi="Tahoma" w:cs="Tahoma"/>
          <w:i/>
          <w:i/>
          <w:iCs/>
          <w:sz w:val="22"/>
          <w:szCs w:val="22"/>
        </w:rPr>
      </w:pPr>
      <w:r>
        <w:rPr>
          <w:rFonts w:cs="Tahoma" w:ascii="Tahoma" w:hAnsi="Tahoma"/>
          <w:sz w:val="22"/>
          <w:szCs w:val="22"/>
        </w:rPr>
        <w:t>Souhrnný rozpočet je nedílnou přílohou č. 1 této smlouvy</w:t>
      </w:r>
      <w:r>
        <w:rPr>
          <w:rStyle w:val="normaltextrun"/>
          <w:rFonts w:cs="Tahoma" w:ascii="Tahoma" w:hAnsi="Tahoma"/>
          <w:sz w:val="22"/>
          <w:szCs w:val="22"/>
        </w:rPr>
        <w:t>.</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Cena za dílo uvedená v odst. 1 tohoto článku smlouvy je cenou nejvýše přípustnou a lze ji změnit pouze v případě:</w:t>
      </w:r>
    </w:p>
    <w:p>
      <w:pPr>
        <w:pStyle w:val="Normal"/>
        <w:spacing w:before="120" w:after="0"/>
        <w:ind w:left="510"/>
        <w:jc w:val="both"/>
        <w:rPr>
          <w:rFonts w:ascii="Tahoma" w:hAnsi="Tahoma" w:cs="Tahoma"/>
          <w:b/>
          <w:sz w:val="22"/>
          <w:szCs w:val="22"/>
        </w:rPr>
      </w:pPr>
      <w:r>
        <w:rPr>
          <w:rFonts w:cs="Tahoma" w:ascii="Tahoma" w:hAnsi="Tahoma"/>
          <w:b/>
          <w:sz w:val="22"/>
          <w:szCs w:val="22"/>
        </w:rPr>
        <w:t>MÉNĚPRACÍ</w:t>
      </w:r>
    </w:p>
    <w:p>
      <w:pPr>
        <w:pStyle w:val="Normal"/>
        <w:numPr>
          <w:ilvl w:val="0"/>
          <w:numId w:val="29"/>
        </w:numPr>
        <w:spacing w:before="120" w:after="0"/>
        <w:jc w:val="both"/>
        <w:rPr>
          <w:rFonts w:ascii="Tahoma" w:hAnsi="Tahoma" w:cs="Tahoma"/>
          <w:sz w:val="22"/>
          <w:szCs w:val="22"/>
        </w:rPr>
      </w:pPr>
      <w:r>
        <w:rPr>
          <w:rFonts w:cs="Tahoma" w:ascii="Tahoma" w:hAnsi="Tahoma"/>
          <w:sz w:val="22"/>
          <w:szCs w:val="22"/>
        </w:rPr>
        <w:t>nebude</w:t>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pPr>
        <w:pStyle w:val="Normal"/>
        <w:spacing w:before="120" w:after="0"/>
        <w:ind w:left="510"/>
        <w:jc w:val="both"/>
        <w:rPr>
          <w:rFonts w:ascii="Tahoma" w:hAnsi="Tahoma" w:cs="Tahoma"/>
          <w:b/>
          <w:sz w:val="22"/>
          <w:szCs w:val="22"/>
        </w:rPr>
      </w:pPr>
      <w:r>
        <w:rPr>
          <w:rFonts w:cs="Tahoma" w:ascii="Tahoma" w:hAnsi="Tahoma"/>
          <w:b/>
          <w:sz w:val="22"/>
          <w:szCs w:val="22"/>
        </w:rPr>
        <w:t>VÍCEPRACÍ</w:t>
      </w:r>
    </w:p>
    <w:p>
      <w:pPr>
        <w:pStyle w:val="Normal"/>
        <w:numPr>
          <w:ilvl w:val="0"/>
          <w:numId w:val="29"/>
        </w:numPr>
        <w:spacing w:before="120" w:after="0"/>
        <w:jc w:val="both"/>
        <w:rPr>
          <w:rFonts w:ascii="Tahoma" w:hAnsi="Tahoma" w:cs="Tahoma"/>
          <w:sz w:val="22"/>
          <w:szCs w:val="22"/>
        </w:rPr>
      </w:pPr>
      <w:r>
        <w:rPr>
          <w:rFonts w:cs="Tahoma" w:ascii="Tahoma" w:hAnsi="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pPr>
        <w:pStyle w:val="Normal"/>
        <w:numPr>
          <w:ilvl w:val="0"/>
          <w:numId w:val="30"/>
        </w:numPr>
        <w:spacing w:before="120" w:after="0"/>
        <w:jc w:val="both"/>
        <w:rPr>
          <w:rFonts w:ascii="Tahoma" w:hAnsi="Tahoma" w:cs="Tahoma"/>
          <w:sz w:val="22"/>
          <w:szCs w:val="22"/>
        </w:rPr>
      </w:pPr>
      <w:r>
        <w:rPr>
          <w:rFonts w:cs="Tahoma" w:ascii="Tahoma" w:hAnsi="Tahoma"/>
          <w:sz w:val="22"/>
          <w:szCs w:val="22"/>
          <w:u w:val="single"/>
        </w:rPr>
        <w:t>pro položky vyskytující se v soupise prací, tzv. existující položky (např. v rámci víceprací se nárokuje větší množství výměry)</w:t>
      </w:r>
      <w:r>
        <w:rPr>
          <w:rFonts w:cs="Tahoma" w:ascii="Tahoma" w:hAnsi="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pPr>
        <w:pStyle w:val="Normal"/>
        <w:numPr>
          <w:ilvl w:val="0"/>
          <w:numId w:val="30"/>
        </w:numPr>
        <w:spacing w:before="120" w:after="0"/>
        <w:jc w:val="both"/>
        <w:rPr>
          <w:rFonts w:ascii="Tahoma" w:hAnsi="Tahoma" w:cs="Tahoma"/>
          <w:sz w:val="22"/>
          <w:szCs w:val="22"/>
        </w:rPr>
      </w:pPr>
      <w:r>
        <w:rPr>
          <w:rFonts w:cs="Tahoma" w:ascii="Tahoma" w:hAnsi="Tahoma"/>
          <w:sz w:val="22"/>
          <w:szCs w:val="22"/>
          <w:u w:val="single"/>
        </w:rPr>
        <w:t>pro položky tzv. nové, které se nevyskytují v soupise prací,</w:t>
      </w:r>
      <w:r>
        <w:rPr>
          <w:rFonts w:cs="Tahoma" w:ascii="Tahoma" w:hAnsi="Tahoma"/>
          <w:sz w:val="22"/>
          <w:szCs w:val="22"/>
        </w:rPr>
        <w:t xml:space="preserve"> se jednotková cena položek bude účtovat podle cenové soustavy v níž je zpracována příslušná část výkazu výměr v její aktuální cenové úrovni. </w:t>
      </w:r>
    </w:p>
    <w:p>
      <w:pPr>
        <w:pStyle w:val="Normal"/>
        <w:numPr>
          <w:ilvl w:val="0"/>
          <w:numId w:val="30"/>
        </w:numPr>
        <w:spacing w:before="120" w:after="0"/>
        <w:jc w:val="both"/>
        <w:rPr>
          <w:rFonts w:ascii="Tahoma" w:hAnsi="Tahoma" w:cs="Tahoma"/>
          <w:sz w:val="22"/>
          <w:szCs w:val="22"/>
        </w:rPr>
      </w:pPr>
      <w:r>
        <w:rPr>
          <w:rFonts w:cs="Tahoma" w:ascii="Tahoma" w:hAnsi="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pPr>
        <w:pStyle w:val="Normal"/>
        <w:spacing w:before="120" w:after="0"/>
        <w:ind w:left="717"/>
        <w:jc w:val="both"/>
        <w:rPr>
          <w:rFonts w:ascii="Tahoma" w:hAnsi="Tahoma" w:cs="Tahoma"/>
          <w:b/>
          <w:bCs/>
          <w:sz w:val="22"/>
          <w:szCs w:val="22"/>
        </w:rPr>
      </w:pPr>
      <w:r>
        <w:rPr>
          <w:rFonts w:cs="Tahoma" w:ascii="Tahoma" w:hAnsi="Tahoma"/>
          <w:b/>
          <w:bCs/>
          <w:sz w:val="22"/>
          <w:szCs w:val="22"/>
        </w:rPr>
        <w:t>ZÁMĚNY POLOŽEK dle § 222 odst. 7 ZZVZ</w:t>
      </w:r>
    </w:p>
    <w:p>
      <w:pPr>
        <w:pStyle w:val="Normal"/>
        <w:numPr>
          <w:ilvl w:val="0"/>
          <w:numId w:val="29"/>
        </w:numPr>
        <w:spacing w:before="120" w:after="0"/>
        <w:jc w:val="both"/>
        <w:rPr>
          <w:rFonts w:ascii="Tahoma" w:hAnsi="Tahoma" w:cs="Tahoma"/>
          <w:sz w:val="22"/>
          <w:szCs w:val="22"/>
        </w:rPr>
      </w:pPr>
      <w:r>
        <w:rPr>
          <w:rFonts w:cs="Tahoma" w:ascii="Tahoma" w:hAnsi="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pPr>
        <w:pStyle w:val="Normal"/>
        <w:spacing w:before="120" w:after="0"/>
        <w:ind w:left="717"/>
        <w:jc w:val="both"/>
        <w:rPr>
          <w:rFonts w:ascii="Tahoma" w:hAnsi="Tahoma" w:cs="Tahoma"/>
          <w:sz w:val="22"/>
          <w:szCs w:val="22"/>
        </w:rPr>
      </w:pPr>
      <w:r>
        <w:rPr>
          <w:rFonts w:cs="Tahoma" w:ascii="Tahoma" w:hAnsi="Tahoma"/>
          <w:b/>
          <w:sz w:val="22"/>
          <w:szCs w:val="22"/>
          <w:u w:val="single"/>
        </w:rPr>
        <w:t>ZMĚNY VÝŠE DPH</w:t>
      </w:r>
    </w:p>
    <w:p>
      <w:pPr>
        <w:pStyle w:val="Normal"/>
        <w:numPr>
          <w:ilvl w:val="0"/>
          <w:numId w:val="29"/>
        </w:numPr>
        <w:spacing w:before="120" w:after="0"/>
        <w:jc w:val="both"/>
        <w:rPr>
          <w:rFonts w:ascii="Tahoma" w:hAnsi="Tahoma" w:cs="Tahoma"/>
          <w:sz w:val="22"/>
          <w:szCs w:val="22"/>
        </w:rPr>
      </w:pPr>
      <w:r>
        <w:rPr>
          <w:rFonts w:cs="Tahoma" w:ascii="Tahoma" w:hAnsi="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Rozsah případných méněprací nebo víceprací a cena za jejich realizaci, jakož i záměna položek dle § 222 odst. 7 ZZVZ budou vždy sjednány dodatkem k této smlouvě, přičemž tyto práce mohou být realizovány i před uzavřením dodatku ke smlouvě, a to na základě oboustranně podepsaného změnového listu.</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předmět smlouvy, tj. text „zhotovení stavby - Opravy vnitřních prostor 1.NP a suterénu po povodních“,</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lhůtu splatnosti faktury,</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osoby, která fakturu vyhotovila, včetně jejího podpisu a kontaktního telefonu,</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stavebníka.</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 xml:space="preserve">Následná údržba zeleně bude fakturována samostatně v příslušných letech provádění této údržby, a to v relevantní výši celkového objemu této údržby. </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30 kalendářních dnů ode dne jejich doručení objednateli.</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Doručení faktury se provede osobně na sekretariátě příspěvkové organizace oproti podpisu potvrzující převzetí, doručenkou prostřednictvím provozovatele poštovních služeb nebo prostřednictvím datové schránky.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Style w:val="normaltextrun"/>
          <w:rFonts w:cs="Tahoma" w:ascii="Tahoma" w:hAnsi="Tahoma"/>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zveřejněn v aplikaci „Registr DPH“ jako nespolehlivý plátce,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v insolvenčním řízení,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bankovní účet zhotovitele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I. jakosti.</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Staveniště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Objednatel předá a zhotovitel převezme staveniště nejpozději do 10 kalendářních dnů od výzvy zaslané zhotoviteli, nedohodnou</w:t>
        <w:noBreakHyphen/>
        <w:t>li se smluvní strany, zejména s ohledem na klimatické podmínky a provozní podmínky objednatele, písemně jinak.</w:t>
      </w:r>
    </w:p>
    <w:p>
      <w:pPr>
        <w:pStyle w:val="Smlouva-slo1"/>
        <w:widowControl/>
        <w:spacing w:lineRule="auto" w:line="240"/>
        <w:ind w:left="357"/>
        <w:rPr>
          <w:rFonts w:ascii="Tahoma" w:hAnsi="Tahoma" w:cs="Tahoma"/>
          <w:sz w:val="22"/>
          <w:szCs w:val="22"/>
        </w:rPr>
      </w:pPr>
      <w:r>
        <w:rPr>
          <w:rFonts w:cs="Tahoma" w:ascii="Tahoma" w:hAnsi="Tahoma"/>
          <w:sz w:val="22"/>
          <w:szCs w:val="22"/>
        </w:rPr>
        <w:t>Dohoda o změně termínu předání a převzetí staveniště bude učiněna formou zápisu ve stavebním deníku nebo zápisu ze společného jednání smluvních stran v rámci přípravy realizace stavby,</w:t>
      </w:r>
      <w:r>
        <w:rPr>
          <w:rFonts w:cs="Tahoma" w:ascii="Tahoma" w:hAnsi="Tahoma"/>
        </w:rPr>
        <w:t xml:space="preserve"> </w:t>
      </w:r>
      <w:r>
        <w:rPr>
          <w:rFonts w:cs="Tahoma" w:ascii="Tahoma" w:hAnsi="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 předání a převzetí staveniště vyhotoví smluvní strany zápis. Při předání staveniště objednatel předá zhotoviteli 1 vyhotovení projektové dokumentace stavby.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se zavazuje zcela vyklidit a vyčistit staveniště do 14 dnů od provedení díla. Při nedodržení tohoto termínu se zhotovitel zavazuje uhradit objednateli veškeré náklady a škody, které mu tím vznikly.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pPr>
        <w:pStyle w:val="Normal"/>
        <w:keepNext w:val="true"/>
        <w:spacing w:before="360" w:after="0"/>
        <w:jc w:val="center"/>
        <w:rPr>
          <w:rFonts w:ascii="Tahoma" w:hAnsi="Tahoma" w:cs="Tahoma"/>
          <w:b/>
          <w:sz w:val="22"/>
          <w:szCs w:val="22"/>
        </w:rPr>
      </w:pPr>
      <w:r>
        <w:rPr>
          <w:rFonts w:cs="Tahoma" w:ascii="Tahoma" w:hAnsi="Tahoma"/>
          <w:b/>
          <w:sz w:val="22"/>
          <w:szCs w:val="22"/>
        </w:rPr>
        <w:t>IX.</w:t>
        <w:br/>
        <w:t>Provádění díla, práva a povinnosti smluvních stran</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pPr>
        <w:pStyle w:val="Smlouva-slo1"/>
        <w:numPr>
          <w:ilvl w:val="0"/>
          <w:numId w:val="7"/>
        </w:numPr>
        <w:spacing w:lineRule="auto" w:line="240"/>
        <w:rPr>
          <w:rFonts w:ascii="Tahoma" w:hAnsi="Tahoma" w:cs="Tahoma"/>
          <w:sz w:val="22"/>
          <w:szCs w:val="22"/>
        </w:rPr>
      </w:pPr>
      <w:r>
        <w:rPr>
          <w:rFonts w:cs="Tahoma" w:ascii="Tahoma" w:hAnsi="Tahoma"/>
          <w:sz w:val="22"/>
          <w:szCs w:val="22"/>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w:t>
      </w:r>
      <w:hyperlink r:id="rId2">
        <w:r>
          <w:rPr>
            <w:rStyle w:val="Hyperlink"/>
            <w:rFonts w:cs="Tahoma" w:ascii="Tahoma" w:hAnsi="Tahoma"/>
            <w:sz w:val="22"/>
            <w:szCs w:val="22"/>
          </w:rPr>
          <w:t>info@iris-ostrava.cz</w:t>
        </w:r>
      </w:hyperlink>
      <w:r>
        <w:rPr>
          <w:rFonts w:cs="Tahoma" w:ascii="Tahoma" w:hAnsi="Tahoma"/>
          <w:sz w:val="22"/>
          <w:szCs w:val="22"/>
        </w:rPr>
        <w:t xml:space="preserve"> . Zhotovitel je povinen informovat objednatele a osobou vykonávající technický dozor stavebníka zejména:</w:t>
      </w:r>
    </w:p>
    <w:p>
      <w:pPr>
        <w:pStyle w:val="Smlouva-slo1"/>
        <w:numPr>
          <w:ilvl w:val="0"/>
          <w:numId w:val="25"/>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stavbě.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provedené stavební práce, zařizovací předměty a výrobky zabezpečit před poškozením a krádežemi až do předání díla k užívání objednateli, a to na vlastní náklady.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Bourací práce a všechny práce způsobující hluk nebo prach budou realizovány pouze po předchozím oznámení objednateli a následném povolení objednatelem.</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technického dozoru stavebníka, autorského dozoru projektanta a výkon činnosti koordinátora BOZP a umožnit osobám, které je vykonávají, vstup na stavbu a staveniště</w:t>
      </w:r>
      <w:r>
        <w:rPr>
          <w:rFonts w:cs="Tahoma" w:ascii="Tahoma" w:hAnsi="Tahoma"/>
          <w:iCs/>
          <w:sz w:val="22"/>
          <w:szCs w:val="22"/>
        </w:rPr>
        <w:t>.</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ani osoba s ním propojená nesmí za objednatele vykonávat inženýrsko</w:t>
        <w:noBreakHyphen/>
        <w:t>investorskou činnost na stavbě (technický dozor stavebníka).</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Stavební deník</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Zápisem ve stavebním deníku nelze obsah této smlouvy měnit.</w:t>
      </w:r>
    </w:p>
    <w:p>
      <w:pPr>
        <w:pStyle w:val="Normal"/>
        <w:spacing w:before="360" w:after="0"/>
        <w:jc w:val="center"/>
        <w:rPr>
          <w:rFonts w:ascii="Tahoma" w:hAnsi="Tahoma" w:cs="Tahoma"/>
          <w:b/>
          <w:sz w:val="22"/>
          <w:szCs w:val="22"/>
        </w:rPr>
      </w:pPr>
      <w:r>
        <w:rPr>
          <w:rFonts w:cs="Tahoma" w:ascii="Tahoma" w:hAnsi="Tahoma"/>
          <w:b/>
          <w:sz w:val="22"/>
          <w:szCs w:val="22"/>
        </w:rPr>
        <w:t>XI.</w:t>
        <w:br/>
        <w:t>Předání díla</w:t>
      </w:r>
    </w:p>
    <w:p>
      <w:pPr>
        <w:pStyle w:val="Normal"/>
        <w:widowControl w:val="false"/>
        <w:numPr>
          <w:ilvl w:val="0"/>
          <w:numId w:val="9"/>
        </w:numPr>
        <w:tabs>
          <w:tab w:val="clear" w:pos="709"/>
        </w:tabs>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osoba vykonávající technický dozor stavebníka.</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vydání a číslo stavebního povolení/souhlasu stavebního úřadu s provedením ohlášené stavby, pokud byl vydán, případně datum podání ohlášení stavebnímu úřadu,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vyklizení staveniště,</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osoby vykonávající technický dozor stavebníka.</w:t>
      </w:r>
    </w:p>
    <w:p>
      <w:pPr>
        <w:pStyle w:val="Normal"/>
        <w:widowControl w:val="false"/>
        <w:numPr>
          <w:ilvl w:val="0"/>
          <w:numId w:val="9"/>
        </w:numPr>
        <w:tabs>
          <w:tab w:val="clear" w:pos="709"/>
        </w:tabs>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Práva z vadného plnění, záruka za jakost</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zato, že dílo bylo vadné již při převzetí, neprokáže-li zhotovitel opak.</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poskytuje objednateli na provedené dílo záruku za jakost (dále jen „záruka“) ve smyslu § 2619 a § 2113 a násl. občanského zákoníku, a to v délce:</w:t>
      </w:r>
    </w:p>
    <w:p>
      <w:pPr>
        <w:pStyle w:val="Normal"/>
        <w:numPr>
          <w:ilvl w:val="0"/>
          <w:numId w:val="28"/>
        </w:numPr>
        <w:tabs>
          <w:tab w:val="clear" w:pos="709"/>
          <w:tab w:val="left" w:pos="714" w:leader="none"/>
        </w:tabs>
        <w:spacing w:before="120" w:after="0"/>
        <w:ind w:hanging="357" w:left="714"/>
        <w:jc w:val="both"/>
        <w:rPr>
          <w:rFonts w:ascii="Tahoma" w:hAnsi="Tahoma" w:cs="Tahoma"/>
          <w:sz w:val="22"/>
          <w:szCs w:val="22"/>
        </w:rPr>
      </w:pPr>
      <w:r>
        <w:rPr>
          <w:rFonts w:cs="Tahoma" w:ascii="Tahoma" w:hAnsi="Tahoma"/>
          <w:sz w:val="22"/>
          <w:szCs w:val="22"/>
        </w:rPr>
        <w:t>60 měsíců na provedené práce a dodávky, pokud nejsou uvedeny v písm. b) tohoto odstavce,</w:t>
      </w:r>
    </w:p>
    <w:p>
      <w:pPr>
        <w:pStyle w:val="Normal"/>
        <w:numPr>
          <w:ilvl w:val="0"/>
          <w:numId w:val="28"/>
        </w:numPr>
        <w:tabs>
          <w:tab w:val="clear" w:pos="709"/>
          <w:tab w:val="left" w:pos="714" w:leader="none"/>
        </w:tabs>
        <w:spacing w:before="120" w:after="0"/>
        <w:ind w:hanging="357" w:left="714"/>
        <w:jc w:val="both"/>
        <w:rPr>
          <w:rFonts w:ascii="Tahoma" w:hAnsi="Tahoma" w:cs="Tahoma"/>
          <w:sz w:val="22"/>
          <w:szCs w:val="22"/>
        </w:rPr>
      </w:pPr>
      <w:r>
        <w:rPr>
          <w:rFonts w:cs="Tahoma" w:ascii="Tahoma" w:hAnsi="Tahoma"/>
          <w:sz w:val="22"/>
          <w:szCs w:val="22"/>
        </w:rPr>
        <w:t>na dodávky strojů, zařízení technologie, předměty postupné spotřeby v délce shodné se zárukou poskytovanou výrobcem, nejméně však 24 měsíců,</w:t>
      </w:r>
    </w:p>
    <w:p>
      <w:pPr>
        <w:pStyle w:val="Normal"/>
        <w:tabs>
          <w:tab w:val="clear" w:pos="709"/>
          <w:tab w:val="left" w:pos="-1418" w:leader="none"/>
        </w:tabs>
        <w:spacing w:before="120" w:after="0"/>
        <w:ind w:left="357"/>
        <w:jc w:val="both"/>
        <w:rPr>
          <w:rFonts w:ascii="Tahoma" w:hAnsi="Tahoma" w:cs="Tahoma"/>
          <w:sz w:val="22"/>
          <w:szCs w:val="22"/>
        </w:rPr>
      </w:pPr>
      <w:r>
        <w:rPr>
          <w:rFonts w:cs="Tahoma" w:ascii="Tahoma" w:hAnsi="Tahoma"/>
          <w:sz w:val="22"/>
          <w:szCs w:val="22"/>
        </w:rPr>
        <w:t>(dále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1"/>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V případě havárie započne s odstraněním vady neodkladně, nejpozději do </w:t>
      </w:r>
      <w:r>
        <w:rPr>
          <w:rFonts w:cs="Tahoma" w:ascii="Tahoma" w:hAnsi="Tahoma"/>
          <w:bCs/>
          <w:sz w:val="22"/>
          <w:szCs w:val="22"/>
        </w:rPr>
        <w:t xml:space="preserve">12 hodin </w:t>
      </w:r>
      <w:r>
        <w:rPr>
          <w:rFonts w:cs="Tahoma" w:ascii="Tahoma" w:hAnsi="Tahoma"/>
          <w:sz w:val="22"/>
          <w:szCs w:val="22"/>
        </w:rPr>
        <w:t>od doručení oznámení o vadě.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5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v případě havárie nejpozději do </w:t>
      </w:r>
      <w:r>
        <w:rPr>
          <w:rFonts w:cs="Tahoma" w:ascii="Tahoma" w:hAnsi="Tahoma"/>
          <w:bCs/>
          <w:sz w:val="22"/>
          <w:szCs w:val="22"/>
        </w:rPr>
        <w:t>24</w:t>
      </w:r>
      <w:r>
        <w:rPr>
          <w:rFonts w:cs="Tahoma" w:ascii="Tahoma" w:hAnsi="Tahoma"/>
          <w:b/>
          <w:sz w:val="22"/>
          <w:szCs w:val="22"/>
        </w:rPr>
        <w:t xml:space="preserve"> </w:t>
      </w:r>
      <w:r>
        <w:rPr>
          <w:rFonts w:cs="Tahoma" w:ascii="Tahoma" w:hAnsi="Tahoma"/>
          <w:bCs/>
          <w:sz w:val="22"/>
          <w:szCs w:val="22"/>
        </w:rPr>
        <w:t xml:space="preserve">hodin </w:t>
      </w:r>
      <w:r>
        <w:rPr>
          <w:rFonts w:cs="Tahoma" w:ascii="Tahoma" w:hAnsi="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pPr>
        <w:pStyle w:val="Normal"/>
        <w:numPr>
          <w:ilvl w:val="0"/>
          <w:numId w:val="11"/>
        </w:numPr>
        <w:tabs>
          <w:tab w:val="clear" w:pos="709"/>
        </w:tabs>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keepNext w:val="true"/>
        <w:spacing w:before="360" w:after="0"/>
        <w:jc w:val="center"/>
        <w:rPr>
          <w:rFonts w:ascii="Tahoma" w:hAnsi="Tahoma" w:cs="Tahoma"/>
          <w:b/>
          <w:sz w:val="22"/>
          <w:szCs w:val="22"/>
        </w:rPr>
      </w:pPr>
      <w:r>
        <w:rPr>
          <w:rFonts w:cs="Tahoma" w:ascii="Tahoma" w:hAnsi="Tahoma"/>
          <w:b/>
          <w:sz w:val="22"/>
          <w:szCs w:val="22"/>
        </w:rPr>
        <w:t>XIII.</w:t>
        <w:br/>
        <w:t>Vlastnické právo, nebezpečí škody</w:t>
      </w:r>
    </w:p>
    <w:p>
      <w:pPr>
        <w:pStyle w:val="Smlouva-slo1"/>
        <w:numPr>
          <w:ilvl w:val="0"/>
          <w:numId w:val="12"/>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odvrácení škody nebo k jejímu zmírnění.</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 mil. Kč. Pojištění musí obsahovat krytí škod způsobené na majetku a zdraví třetích osob.</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objednateli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Sankční ujednání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XV.</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32"/>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32"/>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32"/>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32"/>
        </w:numPr>
        <w:tabs>
          <w:tab w:val="clear" w:pos="709"/>
        </w:tabs>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50.000 Kč, a to za každý jednotlivý případ porušení.</w:t>
      </w:r>
    </w:p>
    <w:p>
      <w:pPr>
        <w:pStyle w:val="Normal"/>
        <w:keepNext w:val="true"/>
        <w:spacing w:before="360" w:after="0"/>
        <w:jc w:val="center"/>
        <w:rPr>
          <w:rFonts w:ascii="Tahoma" w:hAnsi="Tahoma" w:cs="Tahoma"/>
          <w:b/>
          <w:sz w:val="22"/>
          <w:szCs w:val="22"/>
        </w:rPr>
      </w:pPr>
      <w:r>
        <w:rPr>
          <w:rFonts w:cs="Tahoma" w:ascii="Tahoma" w:hAnsi="Tahoma"/>
          <w:b/>
          <w:sz w:val="22"/>
          <w:szCs w:val="22"/>
        </w:rPr>
        <w:t>XVI.</w:t>
        <w:br/>
        <w:t>Zánik smlouvy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nepřevzetí staveniště zhotovitelem na výzvu objednatele (s výjimkou případů, kdy převzetí brání důvody na straně objednatele),</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jakéhokoliv smluvního ujednání dle čl. IX odst.  této smlouvy.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6"/>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3"/>
        </w:numPr>
        <w:tabs>
          <w:tab w:val="clear" w:pos="709"/>
        </w:tabs>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120" w:after="0"/>
        <w:jc w:val="center"/>
        <w:rPr>
          <w:rFonts w:ascii="Tahoma" w:hAnsi="Tahoma" w:cs="Tahoma"/>
          <w:b/>
          <w:sz w:val="22"/>
          <w:szCs w:val="22"/>
        </w:rPr>
      </w:pPr>
      <w:r>
        <w:rPr>
          <w:rFonts w:cs="Tahoma" w:ascii="Tahoma" w:hAnsi="Tahoma"/>
          <w:b/>
          <w:sz w:val="22"/>
          <w:szCs w:val="22"/>
        </w:rPr>
        <w:t>XVII.</w:t>
        <w:br/>
        <w:t>Závěrečná ujednání</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5"/>
        </w:numPr>
        <w:spacing w:lineRule="auto" w:line="240"/>
        <w:rPr>
          <w:rFonts w:ascii="Tahoma" w:hAnsi="Tahoma" w:cs="Tahoma"/>
          <w:sz w:val="22"/>
          <w:szCs w:val="22"/>
        </w:rPr>
      </w:pPr>
      <w:r>
        <w:rPr>
          <w:rFonts w:cs="Tahoma" w:ascii="Tahoma" w:hAnsi="Tahoma"/>
          <w:sz w:val="22"/>
          <w:szCs w:val="22"/>
        </w:rPr>
        <w:t>Tato smlouva nabývá platnosti dnem jejího podpisu oběma smluvními stranami a účinnosti dnem uveřejnění v registru smluv.</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5"/>
        </w:numPr>
        <w:spacing w:lineRule="auto" w:line="240"/>
        <w:rPr>
          <w:rFonts w:ascii="Tahoma" w:hAnsi="Tahoma" w:cs="Tahoma"/>
          <w:sz w:val="22"/>
          <w:szCs w:val="22"/>
        </w:rPr>
      </w:pPr>
      <w:r>
        <w:rPr>
          <w:rFonts w:cs="Tahoma" w:ascii="Tahoma" w:hAnsi="Tahoma"/>
          <w:sz w:val="22"/>
          <w:szCs w:val="22"/>
        </w:rPr>
        <w:t>Smluvní strany se dohodly, že pokud se na tuto smlouvu vztahuje povinnost uveřejnění v registru smluv ve smyslu zákona o registru smluv, provede uveřejnění v souladu se zákonem objednatel.</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Nedílnou součástí smlouvy jsou tyto přílohy:</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bCs/>
          <w:sz w:val="22"/>
          <w:szCs w:val="22"/>
        </w:rPr>
        <w:t>Příloha č. 1:</w:t>
        <w:tab/>
      </w:r>
      <w:r>
        <w:rPr>
          <w:rFonts w:cs="Tahoma" w:ascii="Tahoma" w:hAnsi="Tahoma"/>
          <w:sz w:val="22"/>
          <w:szCs w:val="22"/>
        </w:rPr>
        <w:t>Souhrnný rozpočet stavby</w:t>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c>
          <w:tcPr>
            <w:tcW w:w="3528" w:type="dxa"/>
            <w:tcBorders/>
          </w:tcPr>
          <w:p>
            <w:pPr>
              <w:pStyle w:val="Normal"/>
              <w:rPr>
                <w:rFonts w:ascii="Tahoma" w:hAnsi="Tahoma" w:cs="Tahoma"/>
                <w:sz w:val="22"/>
                <w:szCs w:val="22"/>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objednatele</w:t>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rFonts w:ascii="Tahoma" w:hAnsi="Tahoma" w:cs="Tahoma"/>
                <w:sz w:val="22"/>
                <w:szCs w:val="22"/>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zhotovitele</w:t>
            </w:r>
          </w:p>
        </w:tc>
      </w:tr>
    </w:tbl>
    <w:p>
      <w:pPr>
        <w:pStyle w:val="Smlouva-slo1"/>
        <w:spacing w:lineRule="auto" w:line="240" w:before="720" w:after="0"/>
        <w:rPr>
          <w:rFonts w:ascii="Tahoma" w:hAnsi="Tahoma" w:cs="Tahoma"/>
          <w:sz w:val="22"/>
          <w:szCs w:val="22"/>
        </w:rPr>
      </w:pPr>
      <w:r>
        <w:rPr>
          <w:rFonts w:cs="Tahoma" w:ascii="Tahoma" w:hAnsi="Tahoma"/>
          <w:sz w:val="22"/>
          <w:szCs w:val="22"/>
        </w:rPr>
      </w:r>
    </w:p>
    <w:sectPr>
      <w:footerReference w:type="even" r:id="rId3"/>
      <w:footerReference w:type="default" r:id="rId4"/>
      <w:footerReference w:type="first" r:id="rId5"/>
      <w:type w:val="nextPage"/>
      <w:pgSz w:w="11906" w:h="16838"/>
      <w:pgMar w:left="1418" w:right="1418" w:gutter="0" w:header="0"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auto"/>
    <w:pitch w:val="variable"/>
  </w:font>
  <w:font w:name="Arial">
    <w:charset w:val="ee"/>
    <w:family w:val="swiss"/>
    <w:pitch w:val="variable"/>
  </w:font>
  <w:font w:name="Tahoma">
    <w:charset w:val="ee"/>
    <w:family w:val="swiss"/>
    <w:pitch w:val="variable"/>
  </w:font>
  <w:font w:name="Verdana">
    <w:charset w:val="ee"/>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Tahom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Smlouva o dílo na stavbu Opravy vnitřních prostor 1.NP a suterénu po povodních</w:t>
      <w:tab/>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15</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Smlouva o dílo na stavbu Opravy vnitřních prostor 1.NP a suterénu po povodních</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40" w:hanging="340"/>
      </w:pPr>
      <w:rPr/>
    </w:lvl>
    <w:lvl w:ilvl="1">
      <w:start w:val="1"/>
      <w:numFmt w:val="lowerLetter"/>
      <w:lvlText w:val="%2)"/>
      <w:lvlJc w:val="left"/>
      <w:pPr>
        <w:tabs>
          <w:tab w:val="num" w:pos="737"/>
        </w:tabs>
        <w:ind w:left="737" w:hanging="380"/>
      </w:pPr>
      <w:rPr/>
    </w:lvl>
    <w:lvl w:ilvl="2">
      <w:start w:val="1"/>
      <w:numFmt w:val="decimal"/>
      <w:lvlText w:val="%3."/>
      <w:lvlJc w:val="left"/>
      <w:pPr>
        <w:tabs>
          <w:tab w:val="num" w:pos="360"/>
        </w:tabs>
        <w:ind w:left="340" w:hanging="34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20">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2">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4">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5">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6">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lowerLetter"/>
      <w:lvlText w:val="%1)"/>
      <w:lvlJc w:val="left"/>
      <w:pPr>
        <w:tabs>
          <w:tab w:val="num" w:pos="1605"/>
        </w:tabs>
        <w:ind w:left="1605" w:hanging="360"/>
      </w:pPr>
      <w:rPr>
        <w:sz w:val="22"/>
        <w:szCs w:val="22"/>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9">
    <w:lvl w:ilvl="0">
      <w:start w:val="1"/>
      <w:numFmt w:val="lowerLetter"/>
      <w:lvlText w:val="%1)"/>
      <w:lvlJc w:val="left"/>
      <w:pPr>
        <w:tabs>
          <w:tab w:val="num" w:pos="0"/>
        </w:tabs>
        <w:ind w:left="1077" w:hanging="360"/>
      </w:pPr>
      <w:rPr>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30">
    <w:lvl w:ilvl="0">
      <w:numFmt w:val="bullet"/>
      <w:lvlText w:val="-"/>
      <w:lvlJc w:val="left"/>
      <w:pPr>
        <w:tabs>
          <w:tab w:val="num" w:pos="0"/>
        </w:tabs>
        <w:ind w:left="1077" w:hanging="360"/>
      </w:pPr>
      <w:rPr>
        <w:rFonts w:ascii="Tahoma" w:hAnsi="Tahoma" w:cs="Tahoma" w:hint="default"/>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31">
    <w:lvl w:ilvl="0">
      <w:start w:val="1"/>
      <w:numFmt w:val="lowerLetter"/>
      <w:lvlText w:val="%1)"/>
      <w:lvlJc w:val="left"/>
      <w:pPr>
        <w:tabs>
          <w:tab w:val="num" w:pos="0"/>
        </w:tabs>
        <w:ind w:left="700" w:hanging="360"/>
      </w:pPr>
      <w:rPr/>
    </w:lvl>
    <w:lvl w:ilvl="1">
      <w:start w:val="1"/>
      <w:numFmt w:val="lowerLetter"/>
      <w:lvlText w:val="%2."/>
      <w:lvlJc w:val="left"/>
      <w:pPr>
        <w:tabs>
          <w:tab w:val="num" w:pos="0"/>
        </w:tabs>
        <w:ind w:left="1420" w:hanging="360"/>
      </w:pPr>
      <w:rPr/>
    </w:lvl>
    <w:lvl w:ilvl="2">
      <w:start w:val="1"/>
      <w:numFmt w:val="lowerRoman"/>
      <w:lvlText w:val="%3."/>
      <w:lvlJc w:val="right"/>
      <w:pPr>
        <w:tabs>
          <w:tab w:val="num" w:pos="0"/>
        </w:tabs>
        <w:ind w:left="2140" w:hanging="180"/>
      </w:pPr>
      <w:rPr/>
    </w:lvl>
    <w:lvl w:ilvl="3">
      <w:start w:val="1"/>
      <w:numFmt w:val="decimal"/>
      <w:lvlText w:val="%4."/>
      <w:lvlJc w:val="left"/>
      <w:pPr>
        <w:tabs>
          <w:tab w:val="num" w:pos="0"/>
        </w:tabs>
        <w:ind w:left="2860" w:hanging="360"/>
      </w:pPr>
      <w:rPr/>
    </w:lvl>
    <w:lvl w:ilvl="4">
      <w:start w:val="1"/>
      <w:numFmt w:val="lowerLetter"/>
      <w:lvlText w:val="%5."/>
      <w:lvlJc w:val="left"/>
      <w:pPr>
        <w:tabs>
          <w:tab w:val="num" w:pos="0"/>
        </w:tabs>
        <w:ind w:left="3580" w:hanging="360"/>
      </w:pPr>
      <w:rPr/>
    </w:lvl>
    <w:lvl w:ilvl="5">
      <w:start w:val="1"/>
      <w:numFmt w:val="lowerRoman"/>
      <w:lvlText w:val="%6."/>
      <w:lvlJc w:val="right"/>
      <w:pPr>
        <w:tabs>
          <w:tab w:val="num" w:pos="0"/>
        </w:tabs>
        <w:ind w:left="4300" w:hanging="180"/>
      </w:pPr>
      <w:rPr/>
    </w:lvl>
    <w:lvl w:ilvl="6">
      <w:start w:val="1"/>
      <w:numFmt w:val="decimal"/>
      <w:lvlText w:val="%7."/>
      <w:lvlJc w:val="left"/>
      <w:pPr>
        <w:tabs>
          <w:tab w:val="num" w:pos="0"/>
        </w:tabs>
        <w:ind w:left="5020" w:hanging="360"/>
      </w:pPr>
      <w:rPr/>
    </w:lvl>
    <w:lvl w:ilvl="7">
      <w:start w:val="1"/>
      <w:numFmt w:val="lowerLetter"/>
      <w:lvlText w:val="%8."/>
      <w:lvlJc w:val="left"/>
      <w:pPr>
        <w:tabs>
          <w:tab w:val="num" w:pos="0"/>
        </w:tabs>
        <w:ind w:left="5740" w:hanging="360"/>
      </w:pPr>
      <w:rPr/>
    </w:lvl>
    <w:lvl w:ilvl="8">
      <w:start w:val="1"/>
      <w:numFmt w:val="lowerRoman"/>
      <w:lvlText w:val="%9."/>
      <w:lvlJc w:val="right"/>
      <w:pPr>
        <w:tabs>
          <w:tab w:val="num" w:pos="0"/>
        </w:tabs>
        <w:ind w:left="6460" w:hanging="180"/>
      </w:pPr>
      <w:rPr/>
    </w:lvl>
  </w:abstractNum>
  <w:abstractNum w:abstractNumId="32">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embedSystemFonts/>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Comment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UnresolvedMention">
    <w:name w:val="Unresolved Mention"/>
    <w:basedOn w:val="DefaultParagraphFont"/>
    <w:uiPriority w:val="99"/>
    <w:semiHidden/>
    <w:unhideWhenUsed/>
    <w:qFormat/>
    <w:rsid w:val="004d35d7"/>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Zhlavazpat">
    <w:name w:val="Záhlaví a zápatí"/>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
    <w:name w:val="Body Text Indent"/>
    <w:basedOn w:val="Normal"/>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1"/>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3c67a8"/>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suppressAutoHyphens w:val="true"/>
      <w:bidi w:val="0"/>
      <w:spacing w:before="0" w:after="0"/>
      <w:jc w:val="left"/>
    </w:pPr>
    <w:rPr>
      <w:rFonts w:ascii="Tahoma" w:hAnsi="Tahoma" w:eastAsia="Times New Roman" w:cs="Tahoma"/>
      <w:color w:val="000000"/>
      <w:kern w:val="0"/>
      <w:sz w:val="24"/>
      <w:szCs w:val="24"/>
      <w:lang w:val="cs-CZ" w:eastAsia="cs-CZ" w:bidi="ar-SA"/>
    </w:rPr>
  </w:style>
  <w:style w:type="paragraph" w:styleId="CommentText">
    <w:name w:val="annotation text"/>
    <w:basedOn w:val="Normal"/>
    <w:link w:val="TextkomenteChar"/>
    <w:uiPriority w:val="99"/>
    <w:unhideWhenUsed/>
    <w:rsid w:val="0017385a"/>
    <w:pPr/>
    <w:rPr>
      <w:sz w:val="20"/>
      <w:szCs w:val="20"/>
    </w:rPr>
  </w:style>
  <w:style w:type="paragraph" w:styleId="annotationsubject">
    <w:name w:val="annotation subject"/>
    <w:basedOn w:val="CommentText"/>
    <w:next w:val="Comment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paragraph" w:styleId="Revision">
    <w:name w:val="Revision"/>
    <w:uiPriority w:val="99"/>
    <w:semiHidden/>
    <w:qFormat/>
    <w:rsid w:val="00ff4ad3"/>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iris-ostrava.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Application>LibreOffice/24.8.3.2$Windows_X86_64 LibreOffice_project/48a6bac9e7e268aeb4c3483fcf825c94556d9f92</Application>
  <AppVersion>15.0000</AppVersion>
  <Pages>15</Pages>
  <Words>6034</Words>
  <Characters>35798</Characters>
  <CharactersWithSpaces>41428</CharactersWithSpaces>
  <Paragraphs>241</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2022-11-29T05:03:00Z</dcterms:created>
  <dc:creator>sames</dc:creator>
  <dc:description/>
  <dc:language>cs-CZ</dc:language>
  <cp:lastModifiedBy/>
  <cp:lastPrinted>2019-06-12T07:09:00Z</cp:lastPrinted>
  <dcterms:modified xsi:type="dcterms:W3CDTF">2025-01-06T14:16:37Z</dcterms:modified>
  <cp:revision>42</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